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4466"/>
        <w:gridCol w:w="2621"/>
      </w:tblGrid>
      <w:tr w:rsidR="001B3A93" w:rsidTr="001B3A93">
        <w:trPr>
          <w:trHeight w:val="98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93" w:rsidRDefault="001B3A93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lang w:val="es-BO" w:eastAsia="es-BO"/>
              </w:rPr>
              <w:drawing>
                <wp:inline distT="0" distB="0" distL="0" distR="0">
                  <wp:extent cx="972820" cy="467995"/>
                  <wp:effectExtent l="0" t="0" r="0" b="825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A93" w:rsidRDefault="001B3A93">
            <w:pPr>
              <w:pStyle w:val="Encabezado"/>
              <w:jc w:val="center"/>
              <w:rPr>
                <w:rFonts w:ascii="Arial" w:hAnsi="Arial" w:cs="Arial"/>
                <w:b/>
              </w:rPr>
            </w:pPr>
          </w:p>
          <w:p w:rsidR="001B3A93" w:rsidRDefault="001B3A93">
            <w:pPr>
              <w:pStyle w:val="Encabez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CRITERIOS MEDICOS DE EVACUACION </w:t>
            </w:r>
          </w:p>
          <w:p w:rsidR="001B3A93" w:rsidRDefault="001B3A93">
            <w:pPr>
              <w:pStyle w:val="Encabez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SEGÚN TRIAGE</w:t>
            </w:r>
          </w:p>
          <w:p w:rsidR="001B3A93" w:rsidRDefault="001B3A93">
            <w:pPr>
              <w:pStyle w:val="Encabezado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A93" w:rsidRDefault="001B3A9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ANEXO </w:t>
            </w:r>
            <w:r w:rsidR="002E0AB2">
              <w:rPr>
                <w:rFonts w:ascii="Arial" w:hAnsi="Arial" w:cs="Arial"/>
                <w:b/>
                <w:color w:val="000000"/>
              </w:rPr>
              <w:t>B</w:t>
            </w:r>
          </w:p>
          <w:p w:rsidR="001B3A93" w:rsidRPr="00D3719D" w:rsidRDefault="002E0AB2" w:rsidP="002E0AB2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PG-1-DGSMS</w:t>
            </w:r>
            <w:r w:rsidRPr="00A15196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</w:tr>
    </w:tbl>
    <w:p w:rsidR="001B3A93" w:rsidRDefault="001B3A93" w:rsidP="001B3A93">
      <w:pPr>
        <w:pStyle w:val="Encabezado"/>
        <w:rPr>
          <w:lang w:val="es-ES"/>
        </w:rPr>
      </w:pPr>
    </w:p>
    <w:p w:rsidR="001B3A93" w:rsidRDefault="001B3A93" w:rsidP="001B3A93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6F4C6A">
        <w:rPr>
          <w:rFonts w:ascii="Arial" w:hAnsi="Arial" w:cs="Arial"/>
          <w:b/>
          <w:sz w:val="24"/>
          <w:szCs w:val="24"/>
        </w:rPr>
        <w:t xml:space="preserve">Criterios de una evacuación a un Centro Hospitalario </w:t>
      </w:r>
      <w:r>
        <w:rPr>
          <w:rFonts w:ascii="Arial" w:hAnsi="Arial" w:cs="Arial"/>
          <w:b/>
          <w:sz w:val="24"/>
          <w:szCs w:val="24"/>
        </w:rPr>
        <w:t>–</w:t>
      </w:r>
      <w:r w:rsidRPr="006F4C6A">
        <w:rPr>
          <w:rFonts w:ascii="Arial" w:hAnsi="Arial" w:cs="Arial"/>
          <w:b/>
          <w:sz w:val="24"/>
          <w:szCs w:val="24"/>
        </w:rPr>
        <w:t xml:space="preserve"> </w:t>
      </w:r>
    </w:p>
    <w:p w:rsidR="001B3A93" w:rsidRDefault="001B3A93" w:rsidP="001B3A93">
      <w:pPr>
        <w:ind w:left="36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Los criterios de evacuación se deben </w:t>
      </w:r>
      <w:r>
        <w:rPr>
          <w:rFonts w:ascii="Arial" w:hAnsi="Arial" w:cs="Arial"/>
          <w:sz w:val="24"/>
          <w:szCs w:val="24"/>
        </w:rPr>
        <w:t>establecer los criterios</w:t>
      </w:r>
      <w:r w:rsidRPr="006F4C6A">
        <w:rPr>
          <w:rFonts w:ascii="Arial" w:hAnsi="Arial" w:cs="Arial"/>
          <w:sz w:val="24"/>
          <w:szCs w:val="24"/>
        </w:rPr>
        <w:t xml:space="preserve"> u</w:t>
      </w:r>
      <w:r>
        <w:rPr>
          <w:rFonts w:ascii="Arial" w:hAnsi="Arial" w:cs="Arial"/>
          <w:sz w:val="24"/>
          <w:szCs w:val="24"/>
        </w:rPr>
        <w:t>niversales de casos de emergencias</w:t>
      </w:r>
      <w:r w:rsidRPr="006F4C6A">
        <w:rPr>
          <w:rFonts w:ascii="Arial" w:hAnsi="Arial" w:cs="Arial"/>
          <w:sz w:val="24"/>
          <w:szCs w:val="24"/>
        </w:rPr>
        <w:t xml:space="preserve"> médicas los cuales nos orientaran en la realización de una respuesta efectiva.</w:t>
      </w:r>
    </w:p>
    <w:p w:rsidR="001B3A93" w:rsidRPr="006F4C6A" w:rsidRDefault="001B3A93" w:rsidP="001B3A93">
      <w:pPr>
        <w:ind w:left="36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Se requiere el uso de las ambulancias tipo II o III, con equipos médicos de emergencia y personal médico y paramédico capacitado</w:t>
      </w:r>
    </w:p>
    <w:p w:rsidR="001B3A93" w:rsidRDefault="00EE487F" w:rsidP="001B3A93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Según </w:t>
      </w:r>
      <w:proofErr w:type="spellStart"/>
      <w:r>
        <w:rPr>
          <w:rFonts w:ascii="Arial" w:hAnsi="Arial" w:cs="Arial"/>
          <w:b/>
          <w:sz w:val="24"/>
          <w:szCs w:val="24"/>
        </w:rPr>
        <w:t>T</w:t>
      </w:r>
      <w:r w:rsidR="001B3A93" w:rsidRPr="006F4C6A">
        <w:rPr>
          <w:rFonts w:ascii="Arial" w:hAnsi="Arial" w:cs="Arial"/>
          <w:b/>
          <w:sz w:val="24"/>
          <w:szCs w:val="24"/>
        </w:rPr>
        <w:t>riage</w:t>
      </w:r>
      <w:proofErr w:type="spellEnd"/>
      <w:r w:rsidR="001B3A93" w:rsidRPr="006F4C6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laconcuadrcula"/>
        <w:tblW w:w="8494" w:type="dxa"/>
        <w:tblInd w:w="360" w:type="dxa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1B3A93" w:rsidRPr="006F4C6A" w:rsidTr="00C70228">
        <w:trPr>
          <w:trHeight w:val="447"/>
        </w:trPr>
        <w:tc>
          <w:tcPr>
            <w:tcW w:w="2831" w:type="dxa"/>
            <w:shd w:val="clear" w:color="auto" w:fill="FF0000"/>
          </w:tcPr>
          <w:p w:rsidR="001B3A93" w:rsidRPr="006F4C6A" w:rsidRDefault="001B3A93" w:rsidP="00C702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4C6A">
              <w:rPr>
                <w:rFonts w:ascii="Arial" w:hAnsi="Arial" w:cs="Arial"/>
                <w:b/>
                <w:sz w:val="24"/>
                <w:szCs w:val="24"/>
              </w:rPr>
              <w:t>ROJO</w:t>
            </w:r>
          </w:p>
        </w:tc>
        <w:tc>
          <w:tcPr>
            <w:tcW w:w="2831" w:type="dxa"/>
            <w:shd w:val="clear" w:color="auto" w:fill="FFFF00"/>
          </w:tcPr>
          <w:p w:rsidR="001B3A93" w:rsidRPr="006F4C6A" w:rsidRDefault="001B3A93" w:rsidP="00C702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4C6A">
              <w:rPr>
                <w:rFonts w:ascii="Arial" w:hAnsi="Arial" w:cs="Arial"/>
                <w:b/>
                <w:sz w:val="24"/>
                <w:szCs w:val="24"/>
              </w:rPr>
              <w:t>AMARILLO</w:t>
            </w:r>
          </w:p>
        </w:tc>
        <w:tc>
          <w:tcPr>
            <w:tcW w:w="2832" w:type="dxa"/>
            <w:shd w:val="clear" w:color="auto" w:fill="00B050"/>
          </w:tcPr>
          <w:p w:rsidR="001B3A93" w:rsidRPr="006F4C6A" w:rsidRDefault="001B3A93" w:rsidP="00C702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F4C6A">
              <w:rPr>
                <w:rFonts w:ascii="Arial" w:hAnsi="Arial" w:cs="Arial"/>
                <w:b/>
                <w:sz w:val="24"/>
                <w:szCs w:val="24"/>
              </w:rPr>
              <w:t>VERDE</w:t>
            </w:r>
          </w:p>
        </w:tc>
      </w:tr>
      <w:tr w:rsidR="001B3A93" w:rsidRPr="006F4C6A" w:rsidTr="00C70228">
        <w:trPr>
          <w:trHeight w:val="800"/>
        </w:trPr>
        <w:tc>
          <w:tcPr>
            <w:tcW w:w="2831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>Atención inmediata</w:t>
            </w:r>
          </w:p>
        </w:tc>
        <w:tc>
          <w:tcPr>
            <w:tcW w:w="2831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>En 30 minutos como máximo</w:t>
            </w:r>
          </w:p>
        </w:tc>
        <w:tc>
          <w:tcPr>
            <w:tcW w:w="2832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 xml:space="preserve">En 2 horas como máximo </w:t>
            </w:r>
          </w:p>
        </w:tc>
      </w:tr>
      <w:tr w:rsidR="001B3A93" w:rsidRPr="006F4C6A" w:rsidTr="00C70228">
        <w:tc>
          <w:tcPr>
            <w:tcW w:w="2831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 xml:space="preserve">Son personas que presentan lesiones o enfermedades que ponen en riesgo su vida, por lo que ameritan atención prioritaria </w:t>
            </w:r>
          </w:p>
          <w:p w:rsidR="001B3A93" w:rsidRPr="006F4C6A" w:rsidRDefault="001B3A93" w:rsidP="00C7022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1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 xml:space="preserve">Son personas que presentan lesiones moderadas cuya vida no corre peligro, se les proporciona atención luego de ser atendidos todos los usuarios clasificados como rojos </w:t>
            </w:r>
          </w:p>
          <w:p w:rsidR="001B3A93" w:rsidRPr="006F4C6A" w:rsidRDefault="001B3A93" w:rsidP="00C7022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1B3A93" w:rsidRPr="006F4C6A" w:rsidRDefault="001B3A93" w:rsidP="00C702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F4C6A">
              <w:rPr>
                <w:rFonts w:ascii="Arial" w:hAnsi="Arial" w:cs="Arial"/>
                <w:sz w:val="24"/>
                <w:szCs w:val="24"/>
              </w:rPr>
              <w:t xml:space="preserve">Son personas que presentan lesiones leves, Deben acudir a la consulta externa de recibir atención en el servicio de emergencia cuya vida no corre peligro, se les proporciona atención luego de ser atendidos todos los usuarios clasificados como rojos </w:t>
            </w:r>
          </w:p>
          <w:p w:rsidR="001B3A93" w:rsidRPr="006F4C6A" w:rsidRDefault="001B3A93" w:rsidP="00C7022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B3A93" w:rsidRPr="006F4C6A" w:rsidRDefault="001B3A93" w:rsidP="001B3A93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1B3A93" w:rsidRPr="006F4C6A" w:rsidRDefault="001B3A93" w:rsidP="001B3A93">
      <w:pPr>
        <w:ind w:left="36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color w:val="000000"/>
          <w:sz w:val="24"/>
          <w:szCs w:val="24"/>
          <w:lang w:val="es-ES"/>
        </w:rPr>
        <w:t>Es una situación inesperada que representa riesgo inminente para la vida y requiere una atención médica o paramédica de forma inmediata (rojo).</w:t>
      </w:r>
    </w:p>
    <w:p w:rsidR="001B3A93" w:rsidRPr="00E57196" w:rsidRDefault="001B3A93" w:rsidP="001B3A93">
      <w:pPr>
        <w:ind w:left="360"/>
        <w:jc w:val="both"/>
        <w:rPr>
          <w:rFonts w:ascii="Arial" w:hAnsi="Arial" w:cs="Arial"/>
          <w:sz w:val="24"/>
          <w:szCs w:val="24"/>
        </w:rPr>
      </w:pPr>
      <w:r w:rsidRPr="00E57196">
        <w:rPr>
          <w:rFonts w:ascii="Arial" w:hAnsi="Arial" w:cs="Arial"/>
          <w:sz w:val="24"/>
          <w:szCs w:val="24"/>
        </w:rPr>
        <w:t>Las condiciones críticas con riesgo inminente a la vida son</w:t>
      </w:r>
      <w:r>
        <w:rPr>
          <w:rFonts w:ascii="Arial" w:hAnsi="Arial" w:cs="Arial"/>
          <w:sz w:val="24"/>
          <w:szCs w:val="24"/>
        </w:rPr>
        <w:t>:</w:t>
      </w:r>
    </w:p>
    <w:p w:rsidR="001B3A93" w:rsidRPr="006F4C6A" w:rsidRDefault="001B3A93" w:rsidP="001B3A93">
      <w:pPr>
        <w:pStyle w:val="Prrafodelista"/>
        <w:numPr>
          <w:ilvl w:val="0"/>
          <w:numId w:val="8"/>
        </w:numPr>
        <w:ind w:left="1080"/>
        <w:jc w:val="both"/>
        <w:rPr>
          <w:rFonts w:ascii="Arial" w:hAnsi="Arial" w:cs="Arial"/>
          <w:sz w:val="24"/>
          <w:szCs w:val="24"/>
        </w:rPr>
      </w:pPr>
      <w:r w:rsidRPr="001B3A93">
        <w:rPr>
          <w:rFonts w:ascii="Arial" w:hAnsi="Arial" w:cs="Arial"/>
          <w:b/>
          <w:sz w:val="24"/>
          <w:szCs w:val="24"/>
        </w:rPr>
        <w:t>Rojo.</w:t>
      </w:r>
      <w:r w:rsidRPr="006F4C6A">
        <w:rPr>
          <w:rFonts w:ascii="Arial" w:hAnsi="Arial" w:cs="Arial"/>
          <w:sz w:val="24"/>
          <w:szCs w:val="24"/>
        </w:rPr>
        <w:t xml:space="preserve"> - 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maxilofacial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de cuello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laríngeo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Hemorragias externas 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Neumotórax a tensión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Neumotórax abierto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Tórax inestable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proofErr w:type="spellStart"/>
      <w:r w:rsidRPr="006F4C6A">
        <w:rPr>
          <w:rFonts w:ascii="Arial" w:hAnsi="Arial" w:cs="Arial"/>
          <w:sz w:val="24"/>
          <w:szCs w:val="24"/>
        </w:rPr>
        <w:t>Hemotórax</w:t>
      </w:r>
      <w:proofErr w:type="spellEnd"/>
      <w:r w:rsidRPr="006F4C6A">
        <w:rPr>
          <w:rFonts w:ascii="Arial" w:hAnsi="Arial" w:cs="Arial"/>
          <w:sz w:val="24"/>
          <w:szCs w:val="24"/>
        </w:rPr>
        <w:t xml:space="preserve"> masivo 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Taponamiento cardiaco 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lastRenderedPageBreak/>
        <w:t>Trauma cerrado de abdomen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penetrante de abdomen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de cráneo severo</w:t>
      </w:r>
    </w:p>
    <w:p w:rsidR="001B3A93" w:rsidRPr="006F4C6A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Hemorragia arterial severa</w:t>
      </w:r>
    </w:p>
    <w:p w:rsidR="001B3A93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Síndrome de aplastamiento </w:t>
      </w:r>
    </w:p>
    <w:p w:rsidR="001B3A93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Accidente cerebro vascular</w:t>
      </w:r>
    </w:p>
    <w:p w:rsidR="001B3A93" w:rsidRDefault="001B3A93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Infarto de miocardio</w:t>
      </w:r>
    </w:p>
    <w:p w:rsidR="00B0546D" w:rsidRPr="006F4C6A" w:rsidRDefault="00B0546D" w:rsidP="001B3A93">
      <w:pPr>
        <w:pStyle w:val="Prrafodelista"/>
        <w:numPr>
          <w:ilvl w:val="0"/>
          <w:numId w:val="6"/>
        </w:numPr>
        <w:ind w:left="18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Arritmias cardiacas</w:t>
      </w:r>
    </w:p>
    <w:p w:rsidR="001B3A93" w:rsidRPr="001B3A93" w:rsidRDefault="001B3A93" w:rsidP="001B3A93">
      <w:pPr>
        <w:pStyle w:val="Prrafodelista"/>
        <w:numPr>
          <w:ilvl w:val="0"/>
          <w:numId w:val="8"/>
        </w:numPr>
        <w:ind w:left="1080"/>
        <w:jc w:val="both"/>
        <w:rPr>
          <w:rFonts w:ascii="Arial" w:hAnsi="Arial" w:cs="Arial"/>
          <w:b/>
          <w:sz w:val="24"/>
          <w:szCs w:val="24"/>
        </w:rPr>
      </w:pPr>
      <w:r w:rsidRPr="001B3A93">
        <w:rPr>
          <w:rFonts w:ascii="Arial" w:hAnsi="Arial" w:cs="Arial"/>
          <w:b/>
          <w:sz w:val="24"/>
          <w:szCs w:val="24"/>
        </w:rPr>
        <w:t xml:space="preserve">Amarillo 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Neumotórax simple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contusión pulmonar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lesión cardiaca cerrada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Trauma de carneo moderado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lesiones de la columna vertebral 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 xml:space="preserve">Fracturas expuestas y lesiones articulares </w:t>
      </w:r>
    </w:p>
    <w:p w:rsidR="001B3A93" w:rsidRPr="006F4C6A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Lesiones vasculares por amputación traumática</w:t>
      </w:r>
    </w:p>
    <w:p w:rsidR="001B3A93" w:rsidRDefault="001B3A93" w:rsidP="001B3A93">
      <w:pPr>
        <w:pStyle w:val="Prrafodelista"/>
        <w:numPr>
          <w:ilvl w:val="0"/>
          <w:numId w:val="7"/>
        </w:numPr>
        <w:ind w:left="1800"/>
        <w:jc w:val="both"/>
        <w:rPr>
          <w:rFonts w:ascii="Arial" w:hAnsi="Arial" w:cs="Arial"/>
          <w:sz w:val="24"/>
          <w:szCs w:val="24"/>
        </w:rPr>
      </w:pPr>
      <w:r w:rsidRPr="006F4C6A">
        <w:rPr>
          <w:rFonts w:ascii="Arial" w:hAnsi="Arial" w:cs="Arial"/>
          <w:sz w:val="24"/>
          <w:szCs w:val="24"/>
        </w:rPr>
        <w:t>síndrome comportamental</w:t>
      </w:r>
    </w:p>
    <w:p w:rsidR="001B3A93" w:rsidRPr="001B3A93" w:rsidRDefault="001B3A93" w:rsidP="001B3A93">
      <w:pPr>
        <w:pStyle w:val="Prrafodelista"/>
        <w:numPr>
          <w:ilvl w:val="0"/>
          <w:numId w:val="8"/>
        </w:numPr>
        <w:ind w:left="10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</w:t>
      </w:r>
      <w:r w:rsidRPr="001B3A93">
        <w:rPr>
          <w:rFonts w:ascii="Arial" w:hAnsi="Arial" w:cs="Arial"/>
          <w:b/>
          <w:sz w:val="24"/>
          <w:szCs w:val="24"/>
        </w:rPr>
        <w:t xml:space="preserve">erde </w:t>
      </w:r>
    </w:p>
    <w:p w:rsidR="001B3A93" w:rsidRDefault="001B3A93" w:rsidP="001B3A93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Patologías o enfermedades comunes, que puede ser tratadas en salud laboral y observado en la sala de reposo. </w:t>
      </w:r>
    </w:p>
    <w:p w:rsidR="001B3A93" w:rsidRDefault="001B3A93" w:rsidP="001B3A93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Posterior a una valoración médica, se definirá si requiere el traslado a un centro hospitalario para su adecuado manejo clínico. </w:t>
      </w:r>
    </w:p>
    <w:p w:rsidR="001B3A93" w:rsidRDefault="001B3A93" w:rsidP="001B3A93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medio de traslado y/o trasporte no necesariamente es en ambulancia. Pero si debe ser acompañado por otra persona. </w:t>
      </w:r>
    </w:p>
    <w:sectPr w:rsidR="001B3A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124E5"/>
    <w:multiLevelType w:val="hybridMultilevel"/>
    <w:tmpl w:val="1BFE40FC"/>
    <w:lvl w:ilvl="0" w:tplc="2CC4C8B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F6C66"/>
    <w:multiLevelType w:val="hybridMultilevel"/>
    <w:tmpl w:val="84147A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522CA1"/>
    <w:multiLevelType w:val="hybridMultilevel"/>
    <w:tmpl w:val="96FA7CA6"/>
    <w:lvl w:ilvl="0" w:tplc="38AA2ED2">
      <w:start w:val="1"/>
      <w:numFmt w:val="decimal"/>
      <w:lvlText w:val="%1."/>
      <w:lvlJc w:val="left"/>
      <w:pPr>
        <w:ind w:left="2508" w:hanging="360"/>
      </w:pPr>
    </w:lvl>
    <w:lvl w:ilvl="1" w:tplc="0C0A0019" w:tentative="1">
      <w:start w:val="1"/>
      <w:numFmt w:val="lowerLetter"/>
      <w:lvlText w:val="%2."/>
      <w:lvlJc w:val="left"/>
      <w:pPr>
        <w:ind w:left="3228" w:hanging="360"/>
      </w:pPr>
    </w:lvl>
    <w:lvl w:ilvl="2" w:tplc="0C0A001B" w:tentative="1">
      <w:start w:val="1"/>
      <w:numFmt w:val="lowerRoman"/>
      <w:lvlText w:val="%3."/>
      <w:lvlJc w:val="right"/>
      <w:pPr>
        <w:ind w:left="3948" w:hanging="180"/>
      </w:pPr>
    </w:lvl>
    <w:lvl w:ilvl="3" w:tplc="0C0A000F" w:tentative="1">
      <w:start w:val="1"/>
      <w:numFmt w:val="decimal"/>
      <w:lvlText w:val="%4."/>
      <w:lvlJc w:val="left"/>
      <w:pPr>
        <w:ind w:left="4668" w:hanging="360"/>
      </w:pPr>
    </w:lvl>
    <w:lvl w:ilvl="4" w:tplc="0C0A0019" w:tentative="1">
      <w:start w:val="1"/>
      <w:numFmt w:val="lowerLetter"/>
      <w:lvlText w:val="%5."/>
      <w:lvlJc w:val="left"/>
      <w:pPr>
        <w:ind w:left="5388" w:hanging="360"/>
      </w:pPr>
    </w:lvl>
    <w:lvl w:ilvl="5" w:tplc="0C0A001B" w:tentative="1">
      <w:start w:val="1"/>
      <w:numFmt w:val="lowerRoman"/>
      <w:lvlText w:val="%6."/>
      <w:lvlJc w:val="right"/>
      <w:pPr>
        <w:ind w:left="6108" w:hanging="180"/>
      </w:pPr>
    </w:lvl>
    <w:lvl w:ilvl="6" w:tplc="0C0A000F" w:tentative="1">
      <w:start w:val="1"/>
      <w:numFmt w:val="decimal"/>
      <w:lvlText w:val="%7."/>
      <w:lvlJc w:val="left"/>
      <w:pPr>
        <w:ind w:left="6828" w:hanging="360"/>
      </w:pPr>
    </w:lvl>
    <w:lvl w:ilvl="7" w:tplc="0C0A0019" w:tentative="1">
      <w:start w:val="1"/>
      <w:numFmt w:val="lowerLetter"/>
      <w:lvlText w:val="%8."/>
      <w:lvlJc w:val="left"/>
      <w:pPr>
        <w:ind w:left="7548" w:hanging="360"/>
      </w:pPr>
    </w:lvl>
    <w:lvl w:ilvl="8" w:tplc="0C0A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3" w15:restartNumberingAfterBreak="0">
    <w:nsid w:val="50145B5D"/>
    <w:multiLevelType w:val="hybridMultilevel"/>
    <w:tmpl w:val="5A9C8BE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B759A"/>
    <w:multiLevelType w:val="hybridMultilevel"/>
    <w:tmpl w:val="C40C932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50721F"/>
    <w:multiLevelType w:val="multilevel"/>
    <w:tmpl w:val="DE4A56BC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93"/>
    <w:rsid w:val="001B3A93"/>
    <w:rsid w:val="001E3A57"/>
    <w:rsid w:val="002E0AB2"/>
    <w:rsid w:val="00337D1A"/>
    <w:rsid w:val="003663DE"/>
    <w:rsid w:val="004B7328"/>
    <w:rsid w:val="00523A3B"/>
    <w:rsid w:val="006803B0"/>
    <w:rsid w:val="0069180E"/>
    <w:rsid w:val="00850470"/>
    <w:rsid w:val="008710A7"/>
    <w:rsid w:val="00AD3DEF"/>
    <w:rsid w:val="00AF6D15"/>
    <w:rsid w:val="00B0546D"/>
    <w:rsid w:val="00BE047F"/>
    <w:rsid w:val="00CA1EF8"/>
    <w:rsid w:val="00D3719D"/>
    <w:rsid w:val="00E33145"/>
    <w:rsid w:val="00EE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8EEB8-8EBE-4D83-906B-0E6D6804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A93"/>
    <w:rPr>
      <w:lang w:val="es-BO"/>
    </w:rPr>
  </w:style>
  <w:style w:type="paragraph" w:styleId="Ttulo1">
    <w:name w:val="heading 1"/>
    <w:basedOn w:val="Normal"/>
    <w:next w:val="Normal"/>
    <w:link w:val="Ttulo1Car"/>
    <w:uiPriority w:val="9"/>
    <w:qFormat/>
    <w:rsid w:val="00AF6D1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50470"/>
    <w:pPr>
      <w:keepNext/>
      <w:keepLines/>
      <w:numPr>
        <w:numId w:val="5"/>
      </w:numPr>
      <w:spacing w:before="40" w:after="0"/>
      <w:ind w:left="2508" w:hanging="36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50470"/>
    <w:rPr>
      <w:rFonts w:eastAsiaTheme="majorEastAsia" w:cstheme="majorBidi"/>
      <w:b/>
      <w:sz w:val="24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AF6D15"/>
    <w:rPr>
      <w:rFonts w:eastAsiaTheme="majorEastAsia" w:cstheme="majorBidi"/>
      <w:b/>
      <w:sz w:val="32"/>
      <w:szCs w:val="32"/>
    </w:rPr>
  </w:style>
  <w:style w:type="paragraph" w:styleId="Prrafodelista">
    <w:name w:val="List Paragraph"/>
    <w:basedOn w:val="Normal"/>
    <w:uiPriority w:val="34"/>
    <w:qFormat/>
    <w:rsid w:val="001B3A93"/>
    <w:pPr>
      <w:ind w:left="720"/>
      <w:contextualSpacing/>
    </w:pPr>
  </w:style>
  <w:style w:type="table" w:styleId="Tablaconcuadrcula">
    <w:name w:val="Table Grid"/>
    <w:basedOn w:val="Tablanormal"/>
    <w:uiPriority w:val="39"/>
    <w:rsid w:val="001B3A93"/>
    <w:pPr>
      <w:spacing w:after="0" w:line="240" w:lineRule="auto"/>
    </w:pPr>
    <w:rPr>
      <w:lang w:val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1B3A9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1B3A93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general1">
    <w:name w:val="general1"/>
    <w:basedOn w:val="Fuentedeprrafopredeter"/>
    <w:rsid w:val="00D3719D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Flores Flores</dc:creator>
  <cp:keywords/>
  <dc:description/>
  <cp:lastModifiedBy>Maya Camacho Mojica</cp:lastModifiedBy>
  <cp:revision>2</cp:revision>
  <dcterms:created xsi:type="dcterms:W3CDTF">2023-06-13T15:03:00Z</dcterms:created>
  <dcterms:modified xsi:type="dcterms:W3CDTF">2023-06-13T15:03:00Z</dcterms:modified>
</cp:coreProperties>
</file>